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3F" w:rsidRDefault="00DA6C3F" w:rsidP="00DA6C3F">
      <w:pPr>
        <w:spacing w:line="360" w:lineRule="auto"/>
        <w:ind w:firstLine="360"/>
        <w:jc w:val="center"/>
        <w:rPr>
          <w:rFonts w:cs="Aharoni"/>
          <w:b/>
          <w:sz w:val="28"/>
          <w:szCs w:val="28"/>
          <w:lang w:val="en-US"/>
        </w:rPr>
      </w:pPr>
    </w:p>
    <w:p w:rsidR="00DA6C3F" w:rsidRDefault="00DA6C3F" w:rsidP="00DA6C3F">
      <w:pPr>
        <w:spacing w:line="360" w:lineRule="auto"/>
        <w:ind w:firstLine="36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КОНТРОЛЬНО-СЧЕТНАЯ ПАЛАТА</w:t>
      </w:r>
    </w:p>
    <w:p w:rsidR="00DA6C3F" w:rsidRDefault="00DA6C3F" w:rsidP="00DA6C3F">
      <w:pPr>
        <w:spacing w:line="360" w:lineRule="auto"/>
        <w:ind w:firstLine="36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МУНИЦИПАЛЬНОГО ОБРАЗОВАНИЯ</w:t>
      </w:r>
    </w:p>
    <w:p w:rsidR="00DA6C3F" w:rsidRDefault="00DA6C3F" w:rsidP="00DA6C3F">
      <w:pPr>
        <w:spacing w:line="360" w:lineRule="auto"/>
        <w:ind w:firstLine="36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«КАЧУГСКИЙ РАЙОН»</w:t>
      </w:r>
    </w:p>
    <w:p w:rsidR="00DA6C3F" w:rsidRDefault="00DA6C3F" w:rsidP="00DA6C3F">
      <w:pPr>
        <w:spacing w:line="360" w:lineRule="auto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</w:t>
      </w:r>
    </w:p>
    <w:p w:rsidR="00DA6C3F" w:rsidRDefault="00DA6C3F" w:rsidP="00DA6C3F">
      <w:pPr>
        <w:spacing w:line="360" w:lineRule="auto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ЗАКЛЮЧЕНИЕ № 15/17</w:t>
      </w:r>
    </w:p>
    <w:p w:rsidR="00DA6C3F" w:rsidRDefault="00DA6C3F" w:rsidP="00DA6C3F">
      <w:pPr>
        <w:spacing w:line="360" w:lineRule="auto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О результатах экспертно-аналитического мероприятия</w:t>
      </w:r>
    </w:p>
    <w:p w:rsidR="00DA6C3F" w:rsidRDefault="00DA6C3F" w:rsidP="00DA6C3F">
      <w:pPr>
        <w:spacing w:line="360" w:lineRule="auto"/>
        <w:ind w:left="709" w:hanging="709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«Внешняя проверка годового отчета об исполнении бюджета        муниципального образования «</w:t>
      </w:r>
      <w:proofErr w:type="spellStart"/>
      <w:r>
        <w:rPr>
          <w:rFonts w:cs="Aharoni"/>
          <w:b/>
          <w:sz w:val="28"/>
          <w:szCs w:val="28"/>
        </w:rPr>
        <w:t>Качугский</w:t>
      </w:r>
      <w:proofErr w:type="spellEnd"/>
      <w:r>
        <w:rPr>
          <w:rFonts w:cs="Aharoni"/>
          <w:b/>
          <w:sz w:val="28"/>
          <w:szCs w:val="28"/>
        </w:rPr>
        <w:t xml:space="preserve"> район» за 2016 год</w:t>
      </w:r>
    </w:p>
    <w:p w:rsidR="00DA6C3F" w:rsidRDefault="00DA6C3F" w:rsidP="00DA6C3F">
      <w:pPr>
        <w:spacing w:line="360" w:lineRule="auto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20 апреля 2017г.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</w:t>
      </w:r>
      <w:proofErr w:type="gramStart"/>
      <w:r>
        <w:rPr>
          <w:rFonts w:cs="Aharoni"/>
          <w:sz w:val="28"/>
          <w:szCs w:val="28"/>
        </w:rPr>
        <w:t>Настоящее заключение подготовлено Контрольно-счетной палатой 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(далее КСП) в соответствии со статьей 264.4 Бюджетного кодекса Российской Федерации (далее - БК РФ), решением Думы муниципального района от 25.03.2016г. №34 «Об утверждении Положения о Контрольно-счетной палате 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район», на основании представленного администрацией 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отчета за 2016 год (далее - Отчет об исполнении бюджета) и с</w:t>
      </w:r>
      <w:proofErr w:type="gramEnd"/>
      <w:r>
        <w:rPr>
          <w:rFonts w:cs="Aharoni"/>
          <w:sz w:val="28"/>
          <w:szCs w:val="28"/>
        </w:rPr>
        <w:t xml:space="preserve"> учетом данных внутренней </w:t>
      </w:r>
      <w:proofErr w:type="gramStart"/>
      <w:r>
        <w:rPr>
          <w:rFonts w:cs="Aharoni"/>
          <w:sz w:val="28"/>
          <w:szCs w:val="28"/>
        </w:rPr>
        <w:t>проверки годовой бюджетной отчетности главных администраторов средств бюджета муниципального</w:t>
      </w:r>
      <w:proofErr w:type="gramEnd"/>
      <w:r>
        <w:rPr>
          <w:rFonts w:cs="Aharoni"/>
          <w:sz w:val="28"/>
          <w:szCs w:val="28"/>
        </w:rPr>
        <w:t xml:space="preserve">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район».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</w:t>
      </w:r>
    </w:p>
    <w:p w:rsidR="00DA6C3F" w:rsidRDefault="00DA6C3F" w:rsidP="00DA6C3F">
      <w:pPr>
        <w:spacing w:line="360" w:lineRule="auto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1. Общие положения</w:t>
      </w:r>
    </w:p>
    <w:p w:rsidR="00DA6C3F" w:rsidRDefault="00DA6C3F" w:rsidP="00DA6C3F">
      <w:pPr>
        <w:pStyle w:val="pagettl"/>
        <w:spacing w:before="0" w:after="0" w:line="360" w:lineRule="auto"/>
        <w:ind w:firstLine="360"/>
        <w:jc w:val="both"/>
        <w:rPr>
          <w:rFonts w:ascii="Times New Roman" w:hAnsi="Times New Roman" w:cs="Aharoni"/>
          <w:b w:val="0"/>
          <w:color w:val="auto"/>
          <w:sz w:val="28"/>
          <w:szCs w:val="28"/>
        </w:rPr>
      </w:pPr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     Заключение на Отчет об исполнении бюджета муниципального образования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 за 2016 год подготовлено Контрольно-счетной палатой МО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 в соответствии с требованиями ст. 157, 264-4 Бюджетного кодекса РФ. </w:t>
      </w:r>
    </w:p>
    <w:p w:rsidR="00DA6C3F" w:rsidRDefault="00DA6C3F" w:rsidP="00DA6C3F">
      <w:pPr>
        <w:pStyle w:val="pagettl"/>
        <w:spacing w:before="0" w:after="0" w:line="360" w:lineRule="auto"/>
        <w:ind w:firstLine="360"/>
        <w:jc w:val="both"/>
        <w:rPr>
          <w:rFonts w:ascii="Times New Roman" w:hAnsi="Times New Roman" w:cs="Aharoni"/>
          <w:b w:val="0"/>
          <w:color w:val="auto"/>
          <w:sz w:val="28"/>
          <w:szCs w:val="28"/>
        </w:rPr>
      </w:pPr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       В ходе внешней проверки исследованы показатели доходной и расходной части местного бюджета за 2016 год, источники финансирования </w:t>
      </w:r>
      <w:r>
        <w:rPr>
          <w:rFonts w:ascii="Times New Roman" w:hAnsi="Times New Roman" w:cs="Aharoni"/>
          <w:b w:val="0"/>
          <w:color w:val="auto"/>
          <w:sz w:val="28"/>
          <w:szCs w:val="28"/>
        </w:rPr>
        <w:lastRenderedPageBreak/>
        <w:t xml:space="preserve">дефицита местного бюджета. Дана оценка соблюдения законодательства РФ, в том числе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от 28.12.2010 года №191н, осуществлен анализ общих характеристик бюджета, а также полноты и </w:t>
      </w:r>
      <w:proofErr w:type="gramStart"/>
      <w:r>
        <w:rPr>
          <w:rFonts w:ascii="Times New Roman" w:hAnsi="Times New Roman" w:cs="Aharoni"/>
          <w:b w:val="0"/>
          <w:color w:val="auto"/>
          <w:sz w:val="28"/>
          <w:szCs w:val="28"/>
        </w:rPr>
        <w:t>достоверности</w:t>
      </w:r>
      <w:proofErr w:type="gram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данных годового отчета.</w:t>
      </w:r>
    </w:p>
    <w:p w:rsidR="00DA6C3F" w:rsidRDefault="00DA6C3F" w:rsidP="00DA6C3F">
      <w:pPr>
        <w:pStyle w:val="pagettl"/>
        <w:spacing w:before="0" w:after="0" w:line="360" w:lineRule="auto"/>
        <w:ind w:firstLine="360"/>
        <w:jc w:val="both"/>
        <w:rPr>
          <w:rFonts w:ascii="Times New Roman" w:hAnsi="Times New Roman" w:cs="Aharoni"/>
          <w:b w:val="0"/>
          <w:color w:val="auto"/>
          <w:sz w:val="28"/>
          <w:szCs w:val="28"/>
        </w:rPr>
      </w:pPr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</w:t>
      </w:r>
    </w:p>
    <w:p w:rsidR="00DA6C3F" w:rsidRDefault="00DA6C3F" w:rsidP="00DA6C3F">
      <w:pPr>
        <w:pStyle w:val="pagettl"/>
        <w:spacing w:before="0" w:after="0" w:line="360" w:lineRule="auto"/>
        <w:ind w:firstLine="360"/>
        <w:jc w:val="both"/>
        <w:rPr>
          <w:rFonts w:ascii="Times New Roman" w:hAnsi="Times New Roman" w:cs="Aharoni"/>
          <w:color w:val="auto"/>
          <w:sz w:val="28"/>
          <w:szCs w:val="28"/>
        </w:rPr>
      </w:pPr>
      <w:r>
        <w:rPr>
          <w:rFonts w:ascii="Times New Roman" w:hAnsi="Times New Roman" w:cs="Aharoni"/>
          <w:color w:val="auto"/>
          <w:sz w:val="28"/>
          <w:szCs w:val="28"/>
        </w:rPr>
        <w:t xml:space="preserve">   2.Соблюдение бюджетного законодательства при организации бюджетного процесса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В соответствии со  статьей 264.2 БК РФ бюджетная отчетность муниципальных образований составляется финансовыми органами муниципальных образований на основании сводной бюджетной отчетности соответствующих главных администраторов бюджетных средств.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Главными администраторами бюджетных сре</w:t>
      </w:r>
      <w:proofErr w:type="gramStart"/>
      <w:r>
        <w:rPr>
          <w:rFonts w:cs="Aharoni"/>
          <w:bCs/>
          <w:sz w:val="28"/>
          <w:szCs w:val="28"/>
        </w:rPr>
        <w:t>дств пр</w:t>
      </w:r>
      <w:proofErr w:type="gramEnd"/>
      <w:r>
        <w:rPr>
          <w:rFonts w:cs="Aharoni"/>
          <w:bCs/>
          <w:sz w:val="28"/>
          <w:szCs w:val="28"/>
        </w:rPr>
        <w:t>изнаются главные распорядители бюджетных средств, главные администраторы доходов бюджета, главные администраторы источников финансирования дефицита бюджета.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Внешняя проверка годового отчета об исполнении местного бюджета осуществляется контрольно-счетным органом муниципального образования, в порядке, установленном муниципальным правовым актом представительного органа муниципального образования с соблюдением требований БК РФ.</w:t>
      </w:r>
    </w:p>
    <w:p w:rsidR="00DA6C3F" w:rsidRDefault="00DA6C3F" w:rsidP="00DA6C3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lastRenderedPageBreak/>
        <w:t>Согласно второму абзацу части 3 и части 4 указанной статьи БК РФ местная администрация 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 Орган муниципального финансового контроля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средств.</w:t>
      </w:r>
    </w:p>
    <w:p w:rsidR="00DA6C3F" w:rsidRDefault="00DA6C3F" w:rsidP="00DA6C3F">
      <w:pPr>
        <w:pStyle w:val="pagettl"/>
        <w:spacing w:before="0" w:after="0" w:line="360" w:lineRule="auto"/>
        <w:ind w:firstLine="708"/>
        <w:jc w:val="both"/>
        <w:rPr>
          <w:rFonts w:ascii="Times New Roman" w:hAnsi="Times New Roman" w:cs="Aharoni"/>
          <w:b w:val="0"/>
          <w:color w:val="auto"/>
          <w:sz w:val="28"/>
          <w:szCs w:val="28"/>
        </w:rPr>
      </w:pPr>
      <w:r>
        <w:rPr>
          <w:rFonts w:ascii="Times New Roman" w:hAnsi="Times New Roman" w:cs="Aharoni"/>
          <w:b w:val="0"/>
          <w:color w:val="auto"/>
          <w:sz w:val="28"/>
          <w:szCs w:val="28"/>
        </w:rPr>
        <w:t>В 2016 году в муниципальном образовании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 бюджетный процесс основывался на положениях Бюджетного кодекса РФ, Положении о бюджетном процессе в муниципальном образовании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район», Уставе муниципального образования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 и других нормативных правовых актах.</w:t>
      </w:r>
    </w:p>
    <w:p w:rsidR="00DA6C3F" w:rsidRDefault="00DA6C3F" w:rsidP="00DA6C3F">
      <w:pPr>
        <w:spacing w:line="360" w:lineRule="auto"/>
        <w:ind w:firstLine="708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Решением Думы муниципального района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от </w:t>
      </w:r>
      <w:r>
        <w:rPr>
          <w:rFonts w:cs="Aharoni"/>
          <w:color w:val="000000"/>
          <w:sz w:val="28"/>
          <w:szCs w:val="28"/>
        </w:rPr>
        <w:t>11.12.2015 № 16</w:t>
      </w:r>
      <w:r>
        <w:rPr>
          <w:rFonts w:cs="Aharoni"/>
          <w:sz w:val="28"/>
          <w:szCs w:val="28"/>
        </w:rPr>
        <w:t xml:space="preserve"> утвержден бюджет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на 2016 год   </w:t>
      </w:r>
      <w:proofErr w:type="gramStart"/>
      <w:r>
        <w:rPr>
          <w:rFonts w:cs="Aharoni"/>
          <w:sz w:val="28"/>
          <w:szCs w:val="28"/>
        </w:rPr>
        <w:t>по</w:t>
      </w:r>
      <w:proofErr w:type="gramEnd"/>
      <w:r>
        <w:rPr>
          <w:rFonts w:cs="Aharoni"/>
          <w:sz w:val="28"/>
          <w:szCs w:val="28"/>
        </w:rPr>
        <w:t xml:space="preserve"> доходам 462254.8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 и по расходам 464754,8 тыс.руб. Бюджет утвержден до начала очередного финансового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DA6C3F" w:rsidRDefault="00DA6C3F" w:rsidP="00DA6C3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Aharoni"/>
          <w:sz w:val="28"/>
          <w:szCs w:val="28"/>
        </w:rPr>
      </w:pPr>
      <w:r>
        <w:rPr>
          <w:rFonts w:ascii="Times New Roman" w:hAnsi="Times New Roman" w:cs="Aharoni"/>
          <w:sz w:val="28"/>
          <w:szCs w:val="28"/>
        </w:rPr>
        <w:t>Внешняя проверка годового отчета об исполнении бюджета МО «</w:t>
      </w:r>
      <w:proofErr w:type="spellStart"/>
      <w:r>
        <w:rPr>
          <w:rFonts w:ascii="Times New Roman" w:hAnsi="Times New Roman" w:cs="Aharoni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sz w:val="28"/>
          <w:szCs w:val="28"/>
        </w:rPr>
        <w:t xml:space="preserve"> район» проведена Контрольно-счетной палатой МО «</w:t>
      </w:r>
      <w:proofErr w:type="spellStart"/>
      <w:r>
        <w:rPr>
          <w:rFonts w:ascii="Times New Roman" w:hAnsi="Times New Roman" w:cs="Aharoni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sz w:val="28"/>
          <w:szCs w:val="28"/>
        </w:rPr>
        <w:t xml:space="preserve"> район» с соблюдением требований Бюджетного  кодекса Российской Федерации.</w:t>
      </w:r>
    </w:p>
    <w:p w:rsidR="00DA6C3F" w:rsidRDefault="00DA6C3F" w:rsidP="00DA6C3F">
      <w:pPr>
        <w:pStyle w:val="pagettl"/>
        <w:spacing w:before="0" w:after="0" w:line="360" w:lineRule="auto"/>
        <w:ind w:firstLine="708"/>
        <w:jc w:val="both"/>
        <w:rPr>
          <w:rFonts w:ascii="Times New Roman" w:hAnsi="Times New Roman" w:cs="Aharoni"/>
          <w:b w:val="0"/>
          <w:color w:val="auto"/>
          <w:sz w:val="28"/>
          <w:szCs w:val="28"/>
        </w:rPr>
      </w:pPr>
      <w:r>
        <w:rPr>
          <w:rFonts w:ascii="Times New Roman" w:hAnsi="Times New Roman" w:cs="Aharoni"/>
          <w:b w:val="0"/>
          <w:color w:val="auto"/>
          <w:sz w:val="28"/>
          <w:szCs w:val="28"/>
        </w:rPr>
        <w:t>Для проведения внешней проверки, Администрацией МО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 своевременно (до 1 апреля - фактически 28.03.2017г.),  отчет направлен в Контрольно-счетную палату МО «</w:t>
      </w:r>
      <w:proofErr w:type="spellStart"/>
      <w:r>
        <w:rPr>
          <w:rFonts w:ascii="Times New Roman" w:hAnsi="Times New Roman" w:cs="Aharoni"/>
          <w:b w:val="0"/>
          <w:color w:val="auto"/>
          <w:sz w:val="28"/>
          <w:szCs w:val="28"/>
        </w:rPr>
        <w:t>Качугский</w:t>
      </w:r>
      <w:proofErr w:type="spellEnd"/>
      <w:r>
        <w:rPr>
          <w:rFonts w:ascii="Times New Roman" w:hAnsi="Times New Roman" w:cs="Aharoni"/>
          <w:b w:val="0"/>
          <w:color w:val="auto"/>
          <w:sz w:val="28"/>
          <w:szCs w:val="28"/>
        </w:rPr>
        <w:t xml:space="preserve"> район».  </w:t>
      </w:r>
    </w:p>
    <w:p w:rsidR="00DA6C3F" w:rsidRDefault="00DA6C3F" w:rsidP="00DA6C3F">
      <w:pPr>
        <w:spacing w:line="360" w:lineRule="auto"/>
        <w:ind w:firstLine="708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Отчет об исполнении бюджета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за 2016 год представлен в составе: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- Пояснительной записки к отчету об исполнении бюджета 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 за 2016 год;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- Поступлений доходов в бюджет муниципального района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за 2016 год (приложение №1);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Безвозмездные поступления районного бюджета за 2016 год (приложение №2);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Исполнений расходов бюджета 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 за 2016г. по разделам и подразделам классификации расходов бюджета (приложение №3);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Исполнения бюджета 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по ведомственной структуре расходов бюджета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за 2016 год (приложение №4);</w:t>
      </w:r>
    </w:p>
    <w:p w:rsidR="00DA6C3F" w:rsidRDefault="00DA6C3F" w:rsidP="00DA6C3F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- Расходования средств резервного фонда администрации муниципального района за 2016 год (приложение №5);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о расходах, исполненных за счет ассигнований, переданных из областного бюджета на осуществление отдельных государственных полномочий в 2016 году (приложение №6);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о доходах, полученных от использования муниципального имущества (приложение №7);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Бюджетные кредиты, привлеченные в бюджет 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(приложение №8);</w:t>
      </w:r>
    </w:p>
    <w:p w:rsidR="00DA6C3F" w:rsidRDefault="00DA6C3F" w:rsidP="00DA6C3F">
      <w:pPr>
        <w:spacing w:line="360" w:lineRule="auto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- Исполнения по расходам  бюджета на финансирование мероприятий долгосрочных целевых программ, финансируемых за счет средств бюджета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за 2016г. (приложение №9);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по дебиторской задолженности (приложение №12);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по кредиторской задолженности (приложение №13);</w:t>
      </w:r>
    </w:p>
    <w:p w:rsidR="00DA6C3F" w:rsidRDefault="00DA6C3F" w:rsidP="00DA6C3F">
      <w:pPr>
        <w:spacing w:line="360" w:lineRule="auto"/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 Источники финансирования дефицита бюджета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за 2016 г. (приложение №14) </w:t>
      </w:r>
    </w:p>
    <w:p w:rsidR="00DA6C3F" w:rsidRDefault="00DA6C3F" w:rsidP="00DA6C3F">
      <w:pPr>
        <w:pStyle w:val="a3"/>
        <w:spacing w:line="360" w:lineRule="auto"/>
        <w:ind w:firstLine="360"/>
        <w:jc w:val="both"/>
        <w:rPr>
          <w:rFonts w:cs="Aharoni"/>
          <w:b/>
          <w:color w:val="000000"/>
          <w:sz w:val="28"/>
          <w:szCs w:val="28"/>
        </w:rPr>
      </w:pPr>
      <w:r>
        <w:rPr>
          <w:rFonts w:cs="Aharoni"/>
          <w:b/>
          <w:color w:val="000000"/>
          <w:sz w:val="28"/>
          <w:szCs w:val="28"/>
        </w:rPr>
        <w:t xml:space="preserve">             </w:t>
      </w:r>
    </w:p>
    <w:p w:rsidR="00DA6C3F" w:rsidRDefault="00DA6C3F" w:rsidP="00DA6C3F">
      <w:pPr>
        <w:pStyle w:val="a3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</w:t>
      </w:r>
    </w:p>
    <w:p w:rsidR="00DA6C3F" w:rsidRDefault="00DA6C3F" w:rsidP="00DA6C3F">
      <w:pPr>
        <w:pStyle w:val="a3"/>
        <w:spacing w:line="360" w:lineRule="auto"/>
        <w:ind w:firstLine="3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3.Общая характеристика исполнения бюджета за 2016 год</w:t>
      </w:r>
    </w:p>
    <w:p w:rsidR="00DA6C3F" w:rsidRDefault="00DA6C3F" w:rsidP="00DA6C3F">
      <w:pPr>
        <w:pStyle w:val="a3"/>
        <w:spacing w:after="75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Первоначально решением Думы муниципального района от 11.12.2015 № 16  «О бюджете  МО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 на 2016 год  утверждены доходы в сумме 462254. тыс. руб., расходы в сумме 464754,8 тыс. руб., с превышением </w:t>
      </w:r>
      <w:r>
        <w:rPr>
          <w:color w:val="000000"/>
          <w:sz w:val="28"/>
          <w:szCs w:val="28"/>
        </w:rPr>
        <w:lastRenderedPageBreak/>
        <w:t>расходов над доходами (дефицит) – 2500 тыс. руб.(4,92% объема доходов районного бюджета без учета безвозмездных поступлений).</w:t>
      </w:r>
    </w:p>
    <w:p w:rsidR="00DA6C3F" w:rsidRDefault="00DA6C3F" w:rsidP="00DA6C3F">
      <w:pPr>
        <w:pStyle w:val="a3"/>
        <w:spacing w:after="75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За отчетный период в решение о бюджете МО «</w:t>
      </w:r>
      <w:proofErr w:type="spellStart"/>
      <w:r>
        <w:rPr>
          <w:color w:val="000000"/>
          <w:sz w:val="28"/>
          <w:szCs w:val="28"/>
        </w:rPr>
        <w:t>Качугский</w:t>
      </w:r>
      <w:proofErr w:type="spellEnd"/>
      <w:r>
        <w:rPr>
          <w:color w:val="000000"/>
          <w:sz w:val="28"/>
          <w:szCs w:val="28"/>
        </w:rPr>
        <w:t xml:space="preserve"> район» 7 раз вносились изменения, в результате:</w:t>
      </w:r>
    </w:p>
    <w:p w:rsidR="00DA6C3F" w:rsidRDefault="00DA6C3F" w:rsidP="00DA6C3F">
      <w:pPr>
        <w:pStyle w:val="a3"/>
        <w:spacing w:after="75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Решением Думы муниципального района «О внесении изменений и дополнений в районный бюджет на 2016 год  от 25.03.2016г. №32 уточнялись</w:t>
      </w:r>
    </w:p>
    <w:p w:rsidR="00DA6C3F" w:rsidRDefault="00DA6C3F" w:rsidP="00DA6C3F">
      <w:pPr>
        <w:pStyle w:val="a3"/>
        <w:spacing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налоговые и неналоговые доходы районного бюджета, а также безвозмездные поступления из областного бюджета и бюджетов поселений, утверждалась кассовая наличность на начало года – 1962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 xml:space="preserve">уб. Доходы составили 465595,7  </w:t>
      </w:r>
      <w:proofErr w:type="spellStart"/>
      <w:r>
        <w:rPr>
          <w:color w:val="000000"/>
          <w:sz w:val="28"/>
          <w:szCs w:val="28"/>
        </w:rPr>
        <w:t>тыс.руб.,расходы</w:t>
      </w:r>
      <w:proofErr w:type="spellEnd"/>
      <w:r>
        <w:rPr>
          <w:color w:val="000000"/>
          <w:sz w:val="28"/>
          <w:szCs w:val="28"/>
        </w:rPr>
        <w:t xml:space="preserve"> составили 470057,7 тыс.руб.</w:t>
      </w:r>
    </w:p>
    <w:p w:rsidR="00DA6C3F" w:rsidRDefault="00DA6C3F" w:rsidP="00DA6C3F">
      <w:pPr>
        <w:pStyle w:val="a3"/>
        <w:spacing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Решением Думы муниципального района «О внесении изменений и дополнений в районный бюджет на 2016 год  от 27.05.2016г.№40 уточнялись безвозмездные поступления из областного бюджета. Доходы составили 466569,3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уб., расходы составили 471031,3 тыс.руб.</w:t>
      </w:r>
    </w:p>
    <w:p w:rsidR="00DA6C3F" w:rsidRDefault="00DA6C3F" w:rsidP="00DA6C3F">
      <w:pPr>
        <w:pStyle w:val="a3"/>
        <w:spacing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Решением Думы муниципального района «О внесении изменений и дополнений в районный бюджет на 2016 год  от 24.06.2016г.№43 уточнялись безвозмездные поступления из областного бюджета. Доходы составили 519495,9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уб., расходы составили 519957,9 тыс.руб.</w:t>
      </w:r>
    </w:p>
    <w:p w:rsidR="00DA6C3F" w:rsidRDefault="00DA6C3F" w:rsidP="00DA6C3F">
      <w:pPr>
        <w:pStyle w:val="a3"/>
        <w:spacing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Решением Думы муниципального района «О внесении изменений и дополнений в районный бюджет на 2016 год  от 26.08.2016г.№51 уточнялись безвозмездные поступления из областного бюджета. Доходы составили 519315,2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уб., расходы составили 523777,2 тыс.руб.</w:t>
      </w:r>
    </w:p>
    <w:p w:rsidR="00DA6C3F" w:rsidRDefault="00DA6C3F" w:rsidP="00DA6C3F">
      <w:pPr>
        <w:pStyle w:val="a3"/>
        <w:spacing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Решением Думы муниципального района «О внесении изменений и дополнений в районный бюджет на 2016 год  от 02.11.2016г.№59 уточнялись безвозмездные поступления из областного бюджета. Доходы составили 535698,9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уб., расходы составили 540160,9 тыс.руб.</w:t>
      </w:r>
    </w:p>
    <w:p w:rsidR="00DA6C3F" w:rsidRDefault="00DA6C3F" w:rsidP="00DA6C3F">
      <w:pPr>
        <w:pStyle w:val="a3"/>
        <w:spacing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Решением Думы муниципального района «О внесении изменений и дополнений в районный бюджет на 2016 год  от 16.12.2016г.№63 уточнялись безвозмездные поступления из областного бюджета. Доходы составили 589436,6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уб., расходы составили 591398,6 тыс.руб.</w:t>
      </w:r>
    </w:p>
    <w:p w:rsidR="00DA6C3F" w:rsidRDefault="00DA6C3F" w:rsidP="00DA6C3F">
      <w:pPr>
        <w:pStyle w:val="a3"/>
        <w:spacing w:after="75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Решением Думы муниципального района «О внесении изменений и дополнений в районный бюджет на 2016 год  от 20.12.2016г.№64 уточнялись безвозмездные поступления из областного бюджета. Доходы составили 593804,4 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уб., расходы составили 595766,4 тыс.руб.</w:t>
      </w:r>
    </w:p>
    <w:p w:rsidR="00DA6C3F" w:rsidRDefault="00DA6C3F" w:rsidP="00DA6C3F">
      <w:pPr>
        <w:pStyle w:val="pagettl"/>
        <w:spacing w:before="0" w:after="0" w:line="360" w:lineRule="auto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 </w:t>
      </w:r>
    </w:p>
    <w:p w:rsidR="00DA6C3F" w:rsidRDefault="00DA6C3F" w:rsidP="00DA6C3F">
      <w:pPr>
        <w:pStyle w:val="pagettl"/>
        <w:spacing w:before="0" w:after="0" w:line="360" w:lineRule="auto"/>
        <w:jc w:val="both"/>
        <w:rPr>
          <w:rFonts w:ascii="Times New Roman" w:hAnsi="Times New Roman" w:cs="Aharoni"/>
          <w:color w:val="auto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                              </w:t>
      </w:r>
      <w:r>
        <w:rPr>
          <w:rFonts w:ascii="Times New Roman" w:hAnsi="Times New Roman" w:cs="Aharoni"/>
          <w:color w:val="auto"/>
          <w:sz w:val="28"/>
          <w:szCs w:val="28"/>
        </w:rPr>
        <w:t>4. Исполнение доходной части бюджета</w:t>
      </w:r>
    </w:p>
    <w:p w:rsidR="00DA6C3F" w:rsidRDefault="00DA6C3F" w:rsidP="00DA6C3F">
      <w:pPr>
        <w:pStyle w:val="pagettl"/>
        <w:spacing w:before="0" w:after="0" w:line="360" w:lineRule="auto"/>
        <w:jc w:val="both"/>
        <w:rPr>
          <w:rFonts w:ascii="Times New Roman" w:hAnsi="Times New Roman" w:cs="Aharoni"/>
          <w:color w:val="auto"/>
          <w:sz w:val="28"/>
          <w:szCs w:val="28"/>
        </w:rPr>
      </w:pPr>
    </w:p>
    <w:p w:rsidR="00DA6C3F" w:rsidRDefault="00DA6C3F" w:rsidP="00DA6C3F">
      <w:pPr>
        <w:pStyle w:val="a3"/>
        <w:spacing w:line="360" w:lineRule="auto"/>
        <w:ind w:firstLine="708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В 2016 году по сравнению с 2015 годом доходы бюджета увеличились на   13,7% . </w:t>
      </w:r>
    </w:p>
    <w:p w:rsidR="00DA6C3F" w:rsidRDefault="00DA6C3F" w:rsidP="00DA6C3F">
      <w:pPr>
        <w:pStyle w:val="a3"/>
        <w:spacing w:line="360" w:lineRule="auto"/>
        <w:ind w:firstLine="36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Исполнение бюджета за 2016 финансовый год  по доходам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                                                                                      </w:t>
      </w:r>
      <w:r>
        <w:rPr>
          <w:rFonts w:cs="Aharoni"/>
          <w:bCs/>
          <w:sz w:val="28"/>
          <w:szCs w:val="28"/>
        </w:rPr>
        <w:t>Таблица 1</w:t>
      </w:r>
    </w:p>
    <w:tbl>
      <w:tblPr>
        <w:tblW w:w="10635" w:type="dxa"/>
        <w:tblInd w:w="-459" w:type="dxa"/>
        <w:tblLayout w:type="fixed"/>
        <w:tblLook w:val="04A0"/>
      </w:tblPr>
      <w:tblGrid>
        <w:gridCol w:w="2129"/>
        <w:gridCol w:w="1418"/>
        <w:gridCol w:w="1417"/>
        <w:gridCol w:w="1276"/>
        <w:gridCol w:w="1133"/>
        <w:gridCol w:w="1276"/>
        <w:gridCol w:w="1986"/>
      </w:tblGrid>
      <w:tr w:rsidR="00DA6C3F" w:rsidTr="00DA6C3F">
        <w:trPr>
          <w:trHeight w:val="91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3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bookmarkStart w:id="0" w:name="OLE_LINK2"/>
            <w:bookmarkStart w:id="1" w:name="OLE_LINK1"/>
            <w:r>
              <w:rPr>
                <w:rFonts w:cs="Aharoni"/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Отчет за 2015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3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План на 16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3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Фактическое исп.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%</w:t>
            </w:r>
          </w:p>
          <w:p w:rsidR="00DA6C3F" w:rsidRDefault="00DA6C3F">
            <w:pPr>
              <w:ind w:firstLine="34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4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% исполнения</w:t>
            </w:r>
          </w:p>
          <w:p w:rsidR="00DA6C3F" w:rsidRDefault="00DA6C3F">
            <w:pPr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к 2015г</w:t>
            </w:r>
          </w:p>
        </w:tc>
      </w:tr>
      <w:tr w:rsidR="00DA6C3F" w:rsidTr="00DA6C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39545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43779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45908,8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2129,8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116,1</w:t>
            </w:r>
          </w:p>
        </w:tc>
      </w:tr>
      <w:tr w:rsidR="00DA6C3F" w:rsidTr="00DA6C3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32787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36196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38219,9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2023,9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105</w:t>
            </w:r>
            <w:r>
              <w:rPr>
                <w:rFonts w:cs="Aharoni"/>
                <w:b/>
                <w:bCs/>
                <w:sz w:val="20"/>
                <w:szCs w:val="20"/>
                <w:lang w:val="en-US"/>
              </w:rPr>
              <w:t>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116,6</w:t>
            </w:r>
          </w:p>
        </w:tc>
      </w:tr>
      <w:tr w:rsidR="00DA6C3F" w:rsidTr="00DA6C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4999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4769,9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95.4</w:t>
            </w:r>
          </w:p>
        </w:tc>
      </w:tr>
      <w:tr w:rsidR="00DA6C3F" w:rsidTr="00DA6C3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</w:tr>
      <w:tr w:rsidR="00DA6C3F" w:rsidTr="00DA6C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</w:tr>
      <w:tr w:rsidR="00DA6C3F" w:rsidTr="00DA6C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1759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2833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2919,1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165,9</w:t>
            </w:r>
          </w:p>
        </w:tc>
      </w:tr>
      <w:tr w:rsidR="00DA6C3F" w:rsidTr="00DA6C3F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</w:tr>
      <w:tr w:rsidR="00DA6C3F" w:rsidTr="00DA6C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14133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13809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13846,7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37.7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97,9</w:t>
            </w:r>
          </w:p>
        </w:tc>
      </w:tr>
      <w:tr w:rsidR="00DA6C3F" w:rsidTr="00DA6C3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3138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3156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3234,1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78,1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102,5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103,1</w:t>
            </w:r>
          </w:p>
        </w:tc>
      </w:tr>
      <w:tr w:rsidR="00DA6C3F" w:rsidTr="00DA6C3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165,7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141,6</w:t>
            </w:r>
          </w:p>
        </w:tc>
      </w:tr>
      <w:tr w:rsidR="00DA6C3F" w:rsidTr="00DA6C3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доходы от оказания  платных услуг или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7727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7940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7969,7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103,1</w:t>
            </w:r>
          </w:p>
        </w:tc>
      </w:tr>
      <w:tr w:rsidR="00DA6C3F" w:rsidTr="00DA6C3F">
        <w:trPr>
          <w:trHeight w:val="7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 xml:space="preserve">доходы от продажи материальных и нематериальных </w:t>
            </w:r>
            <w:r>
              <w:rPr>
                <w:rFonts w:cs="Aharoni"/>
                <w:bCs/>
                <w:sz w:val="20"/>
                <w:szCs w:val="20"/>
              </w:rPr>
              <w:lastRenderedPageBreak/>
              <w:t>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lastRenderedPageBreak/>
              <w:t>1339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373,7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-440,3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27,9</w:t>
            </w:r>
          </w:p>
        </w:tc>
      </w:tr>
      <w:tr w:rsidR="00DA6C3F" w:rsidTr="00DA6C3F">
        <w:trPr>
          <w:trHeight w:val="51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lastRenderedPageBreak/>
              <w:t xml:space="preserve">штрафы, санкции, возмещение ущерба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1740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1708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2029,3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321,3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118,8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116,6</w:t>
            </w:r>
          </w:p>
        </w:tc>
      </w:tr>
      <w:tr w:rsidR="00DA6C3F" w:rsidTr="00DA6C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74,1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102,9</w:t>
            </w:r>
          </w:p>
        </w:tc>
      </w:tr>
      <w:tr w:rsidR="00DA6C3F" w:rsidTr="00DA6C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53678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57588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59755,5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2167,5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103,8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111,3</w:t>
            </w:r>
          </w:p>
        </w:tc>
      </w:tr>
      <w:tr w:rsidR="00DA6C3F" w:rsidTr="00DA6C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449540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536216,4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512481,3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-23735,1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95,6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114,0</w:t>
            </w:r>
          </w:p>
        </w:tc>
      </w:tr>
      <w:tr w:rsidR="00DA6C3F" w:rsidTr="00DA6C3F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503218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593804,4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572236,8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-21567,6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96,4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113,7</w:t>
            </w:r>
          </w:p>
        </w:tc>
      </w:tr>
      <w:bookmarkEnd w:id="0"/>
      <w:bookmarkEnd w:id="1"/>
    </w:tbl>
    <w:p w:rsidR="00DA6C3F" w:rsidRDefault="00DA6C3F" w:rsidP="00DA6C3F">
      <w:pPr>
        <w:ind w:firstLine="360"/>
        <w:jc w:val="both"/>
        <w:rPr>
          <w:rFonts w:cs="Aharoni"/>
          <w:b/>
          <w:bCs/>
          <w:sz w:val="20"/>
          <w:szCs w:val="20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bCs/>
          <w:sz w:val="20"/>
          <w:szCs w:val="20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bCs/>
          <w:sz w:val="20"/>
          <w:szCs w:val="20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bCs/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 xml:space="preserve">      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 xml:space="preserve">   Как видно из таблицы, плановые показатели по поступлению собственных доходов в целом выполнены на 103,8 процента. </w:t>
      </w:r>
      <w:proofErr w:type="gramStart"/>
      <w:r>
        <w:rPr>
          <w:rFonts w:cs="Aharoni"/>
          <w:bCs/>
          <w:sz w:val="28"/>
          <w:szCs w:val="28"/>
        </w:rPr>
        <w:t>По налоговым доходам выполнение составило 104,9%, по неналоговым – 100,3 процентов.</w:t>
      </w:r>
      <w:proofErr w:type="gramEnd"/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 xml:space="preserve">     Основным источником доходов местного бюджета за 2016 г. составил налог на доходы физических лиц – 38219,9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ублей или 63,9% к собственным доходам района. По сравнению с 2015г., в 2016г. собственные доходы увеличились на 11,3%. В разрезе планового и фактического поступления  собственные доходы составили 103%, безвозмездные поступления 95,6% и все доходы за 2016 год в районный бюджет составили 96,4%.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Налоговые доходы поступили в сумме 45908,9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в том числе: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- налог на доходы физических лиц получен в размере 38219,9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при плане 36196 тыс.руб., или 105,6%;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- налог на совокупный доход выполнен на 100,4% и получен в сумме 4769,9%, при плане 4750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уб.;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- государственная пошлина получена в объеме 2919,1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при плане 2833 тыс.руб., или 103%;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Неналоговые доходы поступили в сумме 13846,6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в том числе;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- доходы от использования имущества, находящегося в государственной и муниципальной собственности получены в сумме 3234,1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при плане 3156 тыс.руб., и выполнены на 102,5% ;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- платежи при пользовании природными ресурсами выполнены на 100,4 % и составили 165,7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при плане 165 тыс.руб.;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- доходы от оказания платных услуг и компенсации затрат государства составили 7969,7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и выполнены на 100,4%, при плане 7940 тыс.руб.;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- доходы от продажи муниципального имущества поступили в размере 373,7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при плане 814 тыс.руб., что составляет 45,9%;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- штрафные санкции, возмещение ущерба выполнены на 118,8% и составили 2029,3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при плане 1708 тыс.руб.;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- прочие неналоговые доходы получены в сумме 74.1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при плане 26 тыс.руб.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Безвозмездные поступления в бюджет МО «</w:t>
      </w:r>
      <w:proofErr w:type="spellStart"/>
      <w:r>
        <w:rPr>
          <w:rFonts w:cs="Aharoni"/>
          <w:bCs/>
          <w:sz w:val="28"/>
          <w:szCs w:val="28"/>
        </w:rPr>
        <w:t>Качугский</w:t>
      </w:r>
      <w:proofErr w:type="spellEnd"/>
      <w:r>
        <w:rPr>
          <w:rFonts w:cs="Aharoni"/>
          <w:bCs/>
          <w:sz w:val="28"/>
          <w:szCs w:val="28"/>
        </w:rPr>
        <w:t xml:space="preserve"> район» за 2016 год составили 512481,3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при плане 536216,4 тыс.руб., или 95,6%.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Всего за 2016 год в бюджет района получено доходов 572236,8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при плане 593804,4 тыс.руб.</w:t>
      </w:r>
    </w:p>
    <w:p w:rsidR="00DA6C3F" w:rsidRDefault="00DA6C3F" w:rsidP="00DA6C3F">
      <w:pPr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lastRenderedPageBreak/>
        <w:t xml:space="preserve">                                          </w:t>
      </w:r>
    </w:p>
    <w:p w:rsidR="00DA6C3F" w:rsidRDefault="00DA6C3F" w:rsidP="00DA6C3F">
      <w:pPr>
        <w:jc w:val="both"/>
        <w:rPr>
          <w:rFonts w:cs="Aharoni"/>
          <w:b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 xml:space="preserve">                                   </w:t>
      </w:r>
      <w:r>
        <w:rPr>
          <w:rFonts w:cs="Aharoni"/>
          <w:b/>
          <w:bCs/>
          <w:sz w:val="28"/>
          <w:szCs w:val="28"/>
        </w:rPr>
        <w:t>5. Исполнение расходной части бюджет</w:t>
      </w:r>
    </w:p>
    <w:p w:rsidR="00DA6C3F" w:rsidRDefault="00DA6C3F" w:rsidP="00DA6C3F">
      <w:pPr>
        <w:jc w:val="both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      </w:t>
      </w:r>
      <w:r>
        <w:rPr>
          <w:rFonts w:cs="Aharoni"/>
          <w:bCs/>
          <w:sz w:val="28"/>
          <w:szCs w:val="28"/>
        </w:rPr>
        <w:t>В 2016 году расходы бюджета составили 545120,1 тыс. рублей, при плановых назначениях 595766,4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или 91,5% в том числе:</w:t>
      </w:r>
    </w:p>
    <w:p w:rsidR="00DA6C3F" w:rsidRDefault="00DA6C3F" w:rsidP="00DA6C3F">
      <w:pPr>
        <w:ind w:firstLine="360"/>
        <w:jc w:val="both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 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 xml:space="preserve">                                                                                             </w:t>
      </w:r>
      <w:r>
        <w:rPr>
          <w:rFonts w:cs="Aharoni"/>
          <w:bCs/>
          <w:sz w:val="28"/>
          <w:szCs w:val="28"/>
        </w:rPr>
        <w:t>Таблица 2</w:t>
      </w:r>
    </w:p>
    <w:tbl>
      <w:tblPr>
        <w:tblW w:w="10920" w:type="dxa"/>
        <w:tblInd w:w="-459" w:type="dxa"/>
        <w:tblLayout w:type="fixed"/>
        <w:tblLook w:val="04A0"/>
      </w:tblPr>
      <w:tblGrid>
        <w:gridCol w:w="2695"/>
        <w:gridCol w:w="1560"/>
        <w:gridCol w:w="1418"/>
        <w:gridCol w:w="1561"/>
        <w:gridCol w:w="1702"/>
        <w:gridCol w:w="1984"/>
      </w:tblGrid>
      <w:tr w:rsidR="00DA6C3F" w:rsidTr="00DA6C3F">
        <w:trPr>
          <w:trHeight w:val="10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Отчет за 2014г.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6C3F" w:rsidRDefault="00DA6C3F">
            <w:pPr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План расходов бюджета</w:t>
            </w:r>
          </w:p>
          <w:p w:rsidR="00DA6C3F" w:rsidRDefault="00DA6C3F">
            <w:pPr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2015 г.</w:t>
            </w:r>
          </w:p>
          <w:p w:rsidR="00DA6C3F" w:rsidRDefault="00DA6C3F">
            <w:pPr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 xml:space="preserve">Фактическое </w:t>
            </w:r>
            <w:proofErr w:type="spellStart"/>
            <w:r>
              <w:rPr>
                <w:rFonts w:cs="Aharoni"/>
                <w:b/>
                <w:bCs/>
                <w:sz w:val="20"/>
                <w:szCs w:val="20"/>
              </w:rPr>
              <w:t>исполн</w:t>
            </w:r>
            <w:proofErr w:type="spellEnd"/>
            <w:r>
              <w:rPr>
                <w:rFonts w:cs="Aharoni"/>
                <w:b/>
                <w:bCs/>
                <w:sz w:val="20"/>
                <w:szCs w:val="20"/>
              </w:rPr>
              <w:t>.</w:t>
            </w:r>
          </w:p>
          <w:p w:rsidR="00DA6C3F" w:rsidRDefault="00DA6C3F">
            <w:pPr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Отклонение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center"/>
              <w:rPr>
                <w:rFonts w:cs="Aharoni"/>
                <w:b/>
                <w:bCs/>
                <w:sz w:val="20"/>
                <w:szCs w:val="20"/>
              </w:rPr>
            </w:pPr>
            <w:r>
              <w:rPr>
                <w:rFonts w:cs="Aharoni"/>
                <w:b/>
                <w:bCs/>
                <w:sz w:val="20"/>
                <w:szCs w:val="20"/>
              </w:rPr>
              <w:t>% исполнения</w:t>
            </w:r>
          </w:p>
        </w:tc>
      </w:tr>
      <w:tr w:rsidR="00DA6C3F" w:rsidTr="00DA6C3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39411,3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47299,3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41153,1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-6146,2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87,0</w:t>
            </w:r>
          </w:p>
        </w:tc>
      </w:tr>
      <w:tr w:rsidR="00DA6C3F" w:rsidTr="00DA6C3F">
        <w:trPr>
          <w:trHeight w:val="98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 xml:space="preserve">Национальная безопасность и </w:t>
            </w:r>
            <w:proofErr w:type="spellStart"/>
            <w:r>
              <w:rPr>
                <w:rFonts w:cs="Aharoni"/>
                <w:bCs/>
                <w:sz w:val="20"/>
                <w:szCs w:val="20"/>
              </w:rPr>
              <w:t>правоохранит</w:t>
            </w:r>
            <w:proofErr w:type="gramStart"/>
            <w:r>
              <w:rPr>
                <w:rFonts w:cs="Aharoni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cs="Aharoni"/>
                <w:bCs/>
                <w:sz w:val="20"/>
                <w:szCs w:val="20"/>
              </w:rPr>
              <w:t>еятельность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36,0</w:t>
            </w:r>
          </w:p>
        </w:tc>
      </w:tr>
      <w:tr w:rsidR="00DA6C3F" w:rsidTr="00DA6C3F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2897,3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2198,4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1919,6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278,8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87,3</w:t>
            </w:r>
          </w:p>
        </w:tc>
      </w:tr>
      <w:tr w:rsidR="00DA6C3F" w:rsidTr="00DA6C3F">
        <w:trPr>
          <w:trHeight w:val="51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690,1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1163,0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1138,8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-24,2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97,9</w:t>
            </w:r>
          </w:p>
        </w:tc>
      </w:tr>
      <w:tr w:rsidR="00DA6C3F" w:rsidTr="00DA6C3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</w:p>
        </w:tc>
      </w:tr>
      <w:tr w:rsidR="00DA6C3F" w:rsidTr="00DA6C3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422683,5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496236.8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454794,4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-41442,4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91,6</w:t>
            </w:r>
          </w:p>
        </w:tc>
      </w:tr>
      <w:tr w:rsidR="00DA6C3F" w:rsidTr="00DA6C3F">
        <w:trPr>
          <w:trHeight w:val="7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19819,9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22277,3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20945,2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-1332,1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94,0</w:t>
            </w:r>
          </w:p>
        </w:tc>
      </w:tr>
      <w:tr w:rsidR="00DA6C3F" w:rsidTr="00DA6C3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 xml:space="preserve">Здравоохранение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 xml:space="preserve">      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100,0</w:t>
            </w:r>
          </w:p>
        </w:tc>
      </w:tr>
      <w:tr w:rsidR="00DA6C3F" w:rsidTr="00DA6C3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16287,3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16606.9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15896,5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710,4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95,7</w:t>
            </w:r>
          </w:p>
        </w:tc>
      </w:tr>
      <w:tr w:rsidR="00DA6C3F" w:rsidTr="00DA6C3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66,7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177,8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-632,2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22,0</w:t>
            </w:r>
          </w:p>
        </w:tc>
      </w:tr>
      <w:tr w:rsidR="00DA6C3F" w:rsidTr="00DA6C3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368,0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368,0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 xml:space="preserve">     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100,0</w:t>
            </w:r>
          </w:p>
        </w:tc>
      </w:tr>
      <w:tr w:rsidR="00DA6C3F" w:rsidTr="00DA6C3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 xml:space="preserve">Обслуживание государственного и </w:t>
            </w:r>
            <w:proofErr w:type="spellStart"/>
            <w:r>
              <w:rPr>
                <w:rFonts w:cs="Aharoni"/>
                <w:bCs/>
                <w:sz w:val="20"/>
                <w:szCs w:val="20"/>
              </w:rPr>
              <w:t>муниц</w:t>
            </w:r>
            <w:proofErr w:type="gramStart"/>
            <w:r>
              <w:rPr>
                <w:rFonts w:cs="Aharoni"/>
                <w:bCs/>
                <w:sz w:val="20"/>
                <w:szCs w:val="20"/>
              </w:rPr>
              <w:t>.д</w:t>
            </w:r>
            <w:proofErr w:type="gramEnd"/>
            <w:r>
              <w:rPr>
                <w:rFonts w:cs="Aharoni"/>
                <w:bCs/>
                <w:sz w:val="20"/>
                <w:szCs w:val="20"/>
              </w:rPr>
              <w:t>орлга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662,7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662,7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100,0</w:t>
            </w:r>
          </w:p>
        </w:tc>
      </w:tr>
      <w:tr w:rsidR="00DA6C3F" w:rsidTr="00DA6C3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3780,7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7919,0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7919,0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 xml:space="preserve">    -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100,0</w:t>
            </w:r>
          </w:p>
        </w:tc>
      </w:tr>
      <w:tr w:rsidR="00DA6C3F" w:rsidTr="00DA6C3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505697,1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595766,4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545120,1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50646,3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DA6C3F" w:rsidRDefault="00DA6C3F">
            <w:pPr>
              <w:ind w:firstLine="360"/>
              <w:jc w:val="both"/>
              <w:rPr>
                <w:rFonts w:cs="Aharoni"/>
                <w:bCs/>
                <w:sz w:val="20"/>
                <w:szCs w:val="20"/>
              </w:rPr>
            </w:pPr>
            <w:r>
              <w:rPr>
                <w:rFonts w:cs="Aharoni"/>
                <w:bCs/>
                <w:sz w:val="20"/>
                <w:szCs w:val="20"/>
              </w:rPr>
              <w:t>91,5</w:t>
            </w:r>
          </w:p>
        </w:tc>
      </w:tr>
      <w:tr w:rsidR="00DA6C3F" w:rsidTr="00DA6C3F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DA6C3F" w:rsidRDefault="00DA6C3F">
            <w:pPr>
              <w:ind w:firstLine="360"/>
              <w:jc w:val="both"/>
              <w:rPr>
                <w:rFonts w:cs="Aharoni"/>
                <w:b/>
                <w:bCs/>
                <w:sz w:val="20"/>
                <w:szCs w:val="20"/>
              </w:rPr>
            </w:pPr>
          </w:p>
        </w:tc>
      </w:tr>
    </w:tbl>
    <w:p w:rsidR="00DA6C3F" w:rsidRDefault="00DA6C3F" w:rsidP="00DA6C3F">
      <w:pPr>
        <w:ind w:firstLine="360"/>
        <w:jc w:val="both"/>
        <w:rPr>
          <w:rFonts w:cs="Aharoni"/>
          <w:b/>
          <w:bCs/>
          <w:sz w:val="20"/>
          <w:szCs w:val="20"/>
          <w:vertAlign w:val="superscript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bCs/>
          <w:sz w:val="20"/>
          <w:szCs w:val="20"/>
        </w:rPr>
      </w:pPr>
      <w:r>
        <w:rPr>
          <w:rFonts w:cs="Aharoni"/>
          <w:b/>
          <w:bCs/>
          <w:sz w:val="20"/>
          <w:szCs w:val="20"/>
        </w:rPr>
        <w:t xml:space="preserve">      </w:t>
      </w:r>
    </w:p>
    <w:p w:rsidR="00DA6C3F" w:rsidRDefault="00DA6C3F" w:rsidP="00DA6C3F">
      <w:pPr>
        <w:ind w:firstLine="360"/>
        <w:jc w:val="both"/>
        <w:rPr>
          <w:rFonts w:cs="Aharoni"/>
          <w:bCs/>
          <w:sz w:val="20"/>
          <w:szCs w:val="20"/>
        </w:rPr>
      </w:pPr>
      <w:r>
        <w:rPr>
          <w:rFonts w:cs="Aharoni"/>
          <w:bCs/>
          <w:sz w:val="20"/>
          <w:szCs w:val="20"/>
        </w:rPr>
        <w:t xml:space="preserve">    </w:t>
      </w:r>
    </w:p>
    <w:p w:rsidR="00DA6C3F" w:rsidRDefault="00DA6C3F" w:rsidP="00DA6C3F">
      <w:pPr>
        <w:ind w:firstLine="360"/>
        <w:jc w:val="both"/>
        <w:rPr>
          <w:rFonts w:cs="Aharoni"/>
          <w:bCs/>
          <w:sz w:val="20"/>
          <w:szCs w:val="20"/>
        </w:rPr>
      </w:pPr>
      <w:r>
        <w:rPr>
          <w:rFonts w:cs="Aharoni"/>
          <w:bCs/>
          <w:sz w:val="20"/>
          <w:szCs w:val="20"/>
        </w:rPr>
        <w:t xml:space="preserve">       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 xml:space="preserve">        Из таблицы видно, что наибольшее отклонение исполнения бюджета приходится </w:t>
      </w:r>
      <w:proofErr w:type="gramStart"/>
      <w:r>
        <w:rPr>
          <w:rFonts w:cs="Aharoni"/>
          <w:bCs/>
          <w:sz w:val="28"/>
          <w:szCs w:val="28"/>
        </w:rPr>
        <w:t>на</w:t>
      </w:r>
      <w:proofErr w:type="gramEnd"/>
      <w:r>
        <w:rPr>
          <w:rFonts w:cs="Aharoni"/>
          <w:bCs/>
          <w:sz w:val="28"/>
          <w:szCs w:val="28"/>
        </w:rPr>
        <w:t>: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  <w:r>
        <w:rPr>
          <w:rFonts w:cs="Aharoni"/>
          <w:bCs/>
          <w:sz w:val="28"/>
          <w:szCs w:val="28"/>
        </w:rPr>
        <w:t>- образование 41442,4 тыс</w:t>
      </w:r>
      <w:proofErr w:type="gramStart"/>
      <w:r>
        <w:rPr>
          <w:rFonts w:cs="Aharoni"/>
          <w:bCs/>
          <w:sz w:val="28"/>
          <w:szCs w:val="28"/>
        </w:rPr>
        <w:t>.р</w:t>
      </w:r>
      <w:proofErr w:type="gramEnd"/>
      <w:r>
        <w:rPr>
          <w:rFonts w:cs="Aharoni"/>
          <w:bCs/>
          <w:sz w:val="28"/>
          <w:szCs w:val="28"/>
        </w:rPr>
        <w:t>уб., где детские дошкольные учреждения профинансированы на 91,9%, расходы по начальным школам, неполным средним, средним, учреждениям по внешкольной работе с детьми исполнены на 91.6%. Расходы по молодежной политике и на мероприятия по организации оздоровительной компании детей исполнены на 85,2% к плану. Другие вопросы в области образования профинансированы на 92%.</w:t>
      </w:r>
    </w:p>
    <w:p w:rsidR="00DA6C3F" w:rsidRDefault="00DA6C3F" w:rsidP="00DA6C3F">
      <w:pPr>
        <w:ind w:firstLine="360"/>
        <w:jc w:val="both"/>
        <w:rPr>
          <w:rFonts w:cs="Aharoni"/>
          <w:bCs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                                      </w:t>
      </w:r>
    </w:p>
    <w:p w:rsidR="00DA6C3F" w:rsidRDefault="00DA6C3F" w:rsidP="00DA6C3F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 xml:space="preserve">                                                               </w:t>
      </w:r>
      <w:r>
        <w:rPr>
          <w:rFonts w:cs="Aharoni"/>
          <w:b/>
          <w:sz w:val="28"/>
          <w:szCs w:val="28"/>
        </w:rPr>
        <w:t>Раздел 01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«Общегосударственные вопросы»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>Объем бюджетного финансирования за 2016 год при плане в сумме 47299,3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фактически исполнены в сумме 41153,1 тыс.руб., или 87% от плана. Удельный вес указанных расходов в общем объеме расходов  районного бюджета  на 2016 год составил 7,6%.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Расходы  по подразделу «Функционирование высшего должностного лица субъекта РФ и органа местного самоуправления» определены в сумме 2824,2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ублей, при плане 2503,3 тыс.руб. или 88,6%.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 xml:space="preserve">    На расходы по подразделу «Функционирование законодательных (представительных) органов государственной власти и местного самоуправления» на функционирование  Думы МО</w:t>
      </w:r>
      <w:r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при плане 2227,7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ублей, фактически использованы в сумме 2143,5 тыс.рублей или 96,2%.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По подразделу «Функционирование местной администрации» при плане</w:t>
      </w:r>
      <w:r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 xml:space="preserve">   27139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ублей, фактические расходы составили 22544.1 тыс.рублей, или 83,1%.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На обеспечение деятельности финансовых органов расходы составили 9140,3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ублей, при плане 9232,5 тыс.рублей, или  99%.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Расходы на содержание контрольно-счетной палаты составили 1215,5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ублей при плане 1391,4 тыс.рублей, или 87,4% от плана.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По подразделу «Другие общегосударственные вопросы»  расходы исполнены в объеме 3602,2тыс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 xml:space="preserve">уб. при плане 3980,3 тыс.руб., или 90,5%. 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Резервный фонд Администрации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в объеме 500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ублей в 2016 году не использован.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Раздел 03</w:t>
      </w:r>
    </w:p>
    <w:p w:rsidR="00DA6C3F" w:rsidRDefault="00DA6C3F" w:rsidP="00DA6C3F">
      <w:pPr>
        <w:ind w:firstLine="360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«Национальная безопасность и правоохранительная        деятельность»</w:t>
      </w:r>
    </w:p>
    <w:p w:rsidR="00DA6C3F" w:rsidRDefault="00DA6C3F" w:rsidP="00DA6C3F">
      <w:pPr>
        <w:ind w:firstLine="360"/>
        <w:jc w:val="center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По данному разделу расходы запланированы на муниципальную целевую программу:</w:t>
      </w:r>
    </w:p>
    <w:p w:rsidR="00DA6C3F" w:rsidRDefault="00DA6C3F" w:rsidP="00DA6C3F">
      <w:pPr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-«Профилактика правонарушений в </w:t>
      </w:r>
      <w:proofErr w:type="spellStart"/>
      <w:r>
        <w:rPr>
          <w:rFonts w:cs="Aharoni"/>
          <w:sz w:val="28"/>
          <w:szCs w:val="28"/>
        </w:rPr>
        <w:t>Качугском</w:t>
      </w:r>
      <w:proofErr w:type="spellEnd"/>
      <w:r>
        <w:rPr>
          <w:rFonts w:cs="Aharoni"/>
          <w:sz w:val="28"/>
          <w:szCs w:val="28"/>
        </w:rPr>
        <w:t xml:space="preserve"> районе » - 125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ублей, исполнение 45 тыс.рублей.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   </w:t>
      </w:r>
    </w:p>
    <w:p w:rsidR="00DA6C3F" w:rsidRDefault="00DA6C3F" w:rsidP="00DA6C3F">
      <w:pPr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      </w:t>
      </w:r>
    </w:p>
    <w:p w:rsidR="00DA6C3F" w:rsidRDefault="00DA6C3F" w:rsidP="00DA6C3F">
      <w:pPr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      Раздел 04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«Национальная экономика»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Объем бюджетного финансирования за 2016 год составил 1919,6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при плане 2198,4 тыс.рублей, или 87,3%.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Расходы на возмещение выпадающих доходов, связанных с государственным регулированием тарифов по пригородным и междугородним маршрутам запланированы 1728,4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 фактическое исполнение составило 1728,4 тыс.рублей 100%.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 xml:space="preserve">    Финансирование на создание условий для обеспечения поселений, входящих в состав муниципального района, услугами торговли запланированы расходы в сумме 254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фактически составили 191,2 тыс.руб., или 75,3%.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Расходы по осуществлению отдельных областных государственных полномочий в сфере обращения с безнадзорными собаками и кошками при плане 161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 xml:space="preserve">уб., не осуществлялись.  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Расходы по муниципальной    ведомственной целевой программе поддержки и развития малого и среднего предпринимательства в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при плане 45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не осуществлялись.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Средства дорожного фонда в объеме 10 </w:t>
      </w:r>
      <w:proofErr w:type="spellStart"/>
      <w:r>
        <w:rPr>
          <w:rFonts w:cs="Aharoni"/>
          <w:sz w:val="28"/>
          <w:szCs w:val="28"/>
        </w:rPr>
        <w:t>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уб.,не</w:t>
      </w:r>
      <w:proofErr w:type="spellEnd"/>
      <w:r>
        <w:rPr>
          <w:rFonts w:cs="Aharoni"/>
          <w:sz w:val="28"/>
          <w:szCs w:val="28"/>
        </w:rPr>
        <w:t xml:space="preserve"> расходовались.</w:t>
      </w:r>
    </w:p>
    <w:p w:rsidR="00DA6C3F" w:rsidRDefault="00DA6C3F" w:rsidP="00DA6C3F">
      <w:pPr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    </w:t>
      </w:r>
    </w:p>
    <w:p w:rsidR="00DA6C3F" w:rsidRDefault="00DA6C3F" w:rsidP="00DA6C3F">
      <w:pPr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      Раздел 05</w:t>
      </w:r>
    </w:p>
    <w:p w:rsidR="00DA6C3F" w:rsidRDefault="00DA6C3F" w:rsidP="00DA6C3F">
      <w:pPr>
        <w:ind w:firstLine="36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«</w:t>
      </w:r>
      <w:proofErr w:type="spellStart"/>
      <w:r>
        <w:rPr>
          <w:rFonts w:cs="Aharoni"/>
          <w:b/>
          <w:sz w:val="28"/>
          <w:szCs w:val="28"/>
        </w:rPr>
        <w:t>Жилищн</w:t>
      </w:r>
      <w:proofErr w:type="gramStart"/>
      <w:r>
        <w:rPr>
          <w:rFonts w:cs="Aharoni"/>
          <w:b/>
          <w:sz w:val="28"/>
          <w:szCs w:val="28"/>
        </w:rPr>
        <w:t>о</w:t>
      </w:r>
      <w:proofErr w:type="spellEnd"/>
      <w:r>
        <w:rPr>
          <w:rFonts w:cs="Aharoni"/>
          <w:b/>
          <w:sz w:val="28"/>
          <w:szCs w:val="28"/>
        </w:rPr>
        <w:t>-</w:t>
      </w:r>
      <w:proofErr w:type="gramEnd"/>
      <w:r>
        <w:rPr>
          <w:rFonts w:cs="Aharoni"/>
          <w:b/>
          <w:sz w:val="28"/>
          <w:szCs w:val="28"/>
        </w:rPr>
        <w:t xml:space="preserve"> коммунальное хозяйство»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Расходы по разделу жилищно-коммунальное хозяйство на 2016 год запланированы в сумме 1163 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 xml:space="preserve">уб., фактически составили  1138,8 тыс.руб.- 97,9% от плана. </w:t>
      </w:r>
    </w:p>
    <w:p w:rsidR="00DA6C3F" w:rsidRDefault="00DA6C3F" w:rsidP="00DA6C3F">
      <w:pPr>
        <w:ind w:firstLine="36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Расходы по взносам на капитальный ремонт при плане  136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составили 112,3 тыс.руб., или 82,6%.</w:t>
      </w:r>
    </w:p>
    <w:p w:rsidR="00DA6C3F" w:rsidRDefault="00DA6C3F" w:rsidP="00DA6C3F">
      <w:pPr>
        <w:ind w:firstLine="36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</w:t>
      </w:r>
    </w:p>
    <w:p w:rsidR="00DA6C3F" w:rsidRDefault="00DA6C3F" w:rsidP="00DA6C3F">
      <w:pPr>
        <w:ind w:firstLine="360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Расходы на благоустройство (содержание свалок) 1026,5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при плане 1027 тыс.руб.</w:t>
      </w:r>
    </w:p>
    <w:p w:rsidR="00DA6C3F" w:rsidRDefault="00DA6C3F" w:rsidP="00DA6C3F">
      <w:pPr>
        <w:ind w:firstLine="360"/>
        <w:rPr>
          <w:rFonts w:cs="Aharoni"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         Раздел 07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 «Образование»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</w:t>
      </w:r>
      <w:r>
        <w:rPr>
          <w:rFonts w:cs="Aharoni"/>
          <w:sz w:val="28"/>
          <w:szCs w:val="28"/>
        </w:rPr>
        <w:t>По разделу «Образование</w:t>
      </w:r>
      <w:r>
        <w:rPr>
          <w:rFonts w:cs="Aharoni"/>
          <w:b/>
          <w:sz w:val="28"/>
          <w:szCs w:val="28"/>
        </w:rPr>
        <w:t xml:space="preserve">»  </w:t>
      </w:r>
      <w:r>
        <w:rPr>
          <w:rFonts w:cs="Aharoni"/>
          <w:sz w:val="28"/>
          <w:szCs w:val="28"/>
        </w:rPr>
        <w:t>запланированы расходы в сумме 496236,8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фактически израсходовано 454794,4 тыс.руб.- 91,6% к плану.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Удельный вес указанных расходов в общем объеме расходов на 2016 год  составил 83,4%.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Расходы по подразделу «Детские дошкольные учреждения» профинансированы в сумме 99359,9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 при плане 108126,7 тыс.руб. или 91,9%.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Расходы по начальным школам, неполным средним учреждениям по внешкольной работе с детьми составили 338071.1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 при плане 369097,1 тыс.руб.- 91.6% от плана.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Расходы по молодежной политике и на мероприятия по организации оздоровительной компании детей при плане 1926,9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 составили 1641 тыс.руб. или 85,2%.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Другие вопросы в области образования профинансированы на 92% и составили 15722,4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 при плане 17086,1 тыс.руб.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Раздел 08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«Культура, кинематография»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</w:t>
      </w:r>
      <w:r>
        <w:rPr>
          <w:rFonts w:cs="Aharoni"/>
          <w:sz w:val="28"/>
          <w:szCs w:val="28"/>
        </w:rPr>
        <w:t>По разделу</w:t>
      </w:r>
      <w:r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«Культура»</w:t>
      </w:r>
      <w:r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за 2016 год финансирование составило</w:t>
      </w:r>
      <w:r>
        <w:rPr>
          <w:rFonts w:cs="Aharoni"/>
          <w:b/>
          <w:sz w:val="28"/>
          <w:szCs w:val="28"/>
        </w:rPr>
        <w:t xml:space="preserve"> </w:t>
      </w:r>
      <w:r>
        <w:rPr>
          <w:rFonts w:cs="Aharoni"/>
          <w:sz w:val="28"/>
          <w:szCs w:val="28"/>
        </w:rPr>
        <w:t>20945,2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при плане 22277,3 тыс.руб., или 94%, в том числе на обеспечение деятельности МЦДК и библиотек расходы составили 16727,4 тыс.руб., при плане 17558 тыс.руб., другие вопросы в области культуры профинансированы на 89,4% в сумме 4217,8 тыс.руб., при плане 4719,3 тыс.руб.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Раздел 09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«Здравоохранение »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 xml:space="preserve">      По этому разделу расходы на финансирование муниципальной целевой программы «Медицинские кадры» составили 100тыс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при плане 100 тыс.руб., или 100%.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   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    Раздел 10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«Социальная политика»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Расходы по данному разделу составили 15896,5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 при плане 16606,9 тыс.руб., или 95,7%, в том числе доплата к пенсии муниципальным служащим составила 3280,4 тыс.руб., при плане  3376тыс.руб.,социальные выплаты по предоставлению гражданам субсидий на оплату жилых помещений и коммунальных услуг составили 6993.7 тыс.руб., при плане 7100 тыс.руб. Расходы по содержанию специалиста по предоставлению субсидий составили 654,7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 xml:space="preserve">уб., при плане 654,7 тыс.руб. На предоставление мер социальной поддержки многодетным и малоимущим  семьям направлено 4148.5 тыс.руб., при плане 4424,1 тыс.руб. Расходы на выполнение областных государственных полномочий составили 685,9 тыс.руб., при плане 685,9 тыс.руб. Расходы на выплаты почетным гражданам </w:t>
      </w:r>
      <w:proofErr w:type="spellStart"/>
      <w:r>
        <w:rPr>
          <w:rFonts w:cs="Aharoni"/>
          <w:sz w:val="28"/>
          <w:szCs w:val="28"/>
        </w:rPr>
        <w:t>Качугского</w:t>
      </w:r>
      <w:proofErr w:type="spellEnd"/>
      <w:r>
        <w:rPr>
          <w:rFonts w:cs="Aharoni"/>
          <w:sz w:val="28"/>
          <w:szCs w:val="28"/>
        </w:rPr>
        <w:t xml:space="preserve"> района при плане 180 тыс.руб., составили 133,3 тыс.руб. Расходы по муниципальной ведомственной целевой программе «Жилье для молодых семей» при плане 92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 xml:space="preserve">уб., не осуществлялись. 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Расходы по поддержке общественных организаций при плане 94,2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не осуществлялись.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Раздел 11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lastRenderedPageBreak/>
        <w:t xml:space="preserve">                              «Физическая культура и спорт»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Расходы по данному разделу составили 177,8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ублей, при плане 810 тыс.рублей или 22%.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Раздел 12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«Средства массовой информации»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Расходы по размещению информационного материала в районной газете «Ленская правда» при плане 368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составили 368 тыс.руб.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Раздел 13</w:t>
      </w:r>
    </w:p>
    <w:p w:rsidR="00DA6C3F" w:rsidRDefault="00DA6C3F" w:rsidP="00DA6C3F">
      <w:pPr>
        <w:ind w:firstLine="36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«Обслуживание государственного и муниципального долга»</w:t>
      </w:r>
    </w:p>
    <w:p w:rsidR="00DA6C3F" w:rsidRDefault="00DA6C3F" w:rsidP="00DA6C3F">
      <w:pPr>
        <w:ind w:firstLine="360"/>
        <w:jc w:val="center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На обслуживание внутренних долговых обязательств при плане 662,7тыс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факт составил 662,7тыс.руб.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                    Раздел 14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                     «Межбюджетные трансферты»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</w:t>
      </w:r>
      <w:r>
        <w:rPr>
          <w:rFonts w:cs="Aharoni"/>
          <w:sz w:val="28"/>
          <w:szCs w:val="28"/>
        </w:rPr>
        <w:t>Расходы  по данному разделу были направлены на помощь бюджетам поселений в сумме 7919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при плане 7919 тыс.рублей- 100%.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     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                </w:t>
      </w:r>
      <w:r>
        <w:rPr>
          <w:rFonts w:cs="Aharoni"/>
          <w:b/>
          <w:sz w:val="28"/>
          <w:szCs w:val="28"/>
        </w:rPr>
        <w:t>6. Исполнение программной части бюджета.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В соответствие с уточненным бюджетом муниципального образования  на 2016 год общий объем бюджетных ассигнований на реализацию четырнадцати муниципальных целевых программ, финансируемых за счет средств бюджета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район», утвержден в сумме 14591,7 тыс</w:t>
      </w:r>
      <w:proofErr w:type="gramStart"/>
      <w:r>
        <w:rPr>
          <w:rFonts w:cs="Aharoni"/>
          <w:sz w:val="28"/>
          <w:szCs w:val="28"/>
        </w:rPr>
        <w:t>.р</w:t>
      </w:r>
      <w:proofErr w:type="gramEnd"/>
      <w:r>
        <w:rPr>
          <w:rFonts w:cs="Aharoni"/>
          <w:sz w:val="28"/>
          <w:szCs w:val="28"/>
        </w:rPr>
        <w:t>уб., фактическое исполнение составило 9259,1 тыс.рублей или 63,5%.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</w:t>
      </w:r>
    </w:p>
    <w:p w:rsidR="00DA6C3F" w:rsidRDefault="00DA6C3F" w:rsidP="00DA6C3F">
      <w:pPr>
        <w:ind w:firstLine="360"/>
        <w:jc w:val="center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7. Внутренняя проверка бюджетной отчетности </w:t>
      </w:r>
      <w:proofErr w:type="gramStart"/>
      <w:r>
        <w:rPr>
          <w:rFonts w:cs="Aharoni"/>
          <w:b/>
          <w:sz w:val="28"/>
          <w:szCs w:val="28"/>
        </w:rPr>
        <w:t>главных</w:t>
      </w:r>
      <w:proofErr w:type="gramEnd"/>
      <w:r>
        <w:rPr>
          <w:rFonts w:cs="Aharoni"/>
          <w:b/>
          <w:sz w:val="28"/>
          <w:szCs w:val="28"/>
        </w:rPr>
        <w:t xml:space="preserve"> </w:t>
      </w:r>
    </w:p>
    <w:p w:rsidR="00DA6C3F" w:rsidRDefault="00DA6C3F" w:rsidP="00DA6C3F">
      <w:pPr>
        <w:ind w:firstLine="360"/>
        <w:jc w:val="center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распорядителей  бюджетных средств</w:t>
      </w:r>
    </w:p>
    <w:p w:rsidR="00DA6C3F" w:rsidRDefault="00DA6C3F" w:rsidP="00DA6C3F">
      <w:pPr>
        <w:ind w:firstLine="360"/>
        <w:jc w:val="center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center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По результатам </w:t>
      </w:r>
      <w:proofErr w:type="gramStart"/>
      <w:r>
        <w:rPr>
          <w:rFonts w:cs="Aharoni"/>
          <w:sz w:val="28"/>
          <w:szCs w:val="28"/>
        </w:rPr>
        <w:t>проведения внутреннего финансового контроля годовой бюджетной отчетности главных распорядителей бюджетных средств районного бюджета</w:t>
      </w:r>
      <w:proofErr w:type="gramEnd"/>
      <w:r>
        <w:rPr>
          <w:rFonts w:cs="Aharoni"/>
          <w:sz w:val="28"/>
          <w:szCs w:val="28"/>
        </w:rPr>
        <w:t xml:space="preserve">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за 2016 год, выдано заключение согласно ст. 160.2-1 Бюджетного кодекса Российской Федерации.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Годовая бюджетная отчетность для осуществления внутренней проверки представлена главными распорядителями бюджетных средств по следующим формам: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lastRenderedPageBreak/>
        <w:t>- справка по заключению счетов бюджетного учета отчетного финансового года (</w:t>
      </w:r>
      <w:proofErr w:type="spellStart"/>
      <w:r>
        <w:rPr>
          <w:rFonts w:cs="Aharoni"/>
          <w:sz w:val="28"/>
          <w:szCs w:val="28"/>
        </w:rPr>
        <w:t>ф</w:t>
      </w:r>
      <w:proofErr w:type="spellEnd"/>
      <w:r>
        <w:rPr>
          <w:rFonts w:cs="Aharoni"/>
          <w:sz w:val="28"/>
          <w:szCs w:val="28"/>
        </w:rPr>
        <w:t xml:space="preserve"> 0503110, 0503710);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о финансовых результатах деятельности (ф.0503121, 0503721);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сведения о движении нефинансовых активов (ф.0503168,0503768);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об исполнении бюджета главного распорядителя. Администратора, администратора источников финансирования дефицита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 (ф.0503127);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отчет об исполнения учреждения плана его финансово-хозяйственной деятельности (ф0503737);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- отчет </w:t>
      </w:r>
      <w:proofErr w:type="gramStart"/>
      <w:r>
        <w:rPr>
          <w:rFonts w:cs="Aharoni"/>
          <w:sz w:val="28"/>
          <w:szCs w:val="28"/>
        </w:rPr>
        <w:t>о</w:t>
      </w:r>
      <w:proofErr w:type="gramEnd"/>
      <w:r>
        <w:rPr>
          <w:rFonts w:cs="Aharoni"/>
          <w:sz w:val="28"/>
          <w:szCs w:val="28"/>
        </w:rPr>
        <w:t xml:space="preserve"> принятых бюджетных обязательств (</w:t>
      </w:r>
      <w:proofErr w:type="spellStart"/>
      <w:r>
        <w:rPr>
          <w:rFonts w:cs="Aharoni"/>
          <w:sz w:val="28"/>
          <w:szCs w:val="28"/>
        </w:rPr>
        <w:t>ф</w:t>
      </w:r>
      <w:proofErr w:type="spellEnd"/>
      <w:r>
        <w:rPr>
          <w:rFonts w:cs="Aharoni"/>
          <w:sz w:val="28"/>
          <w:szCs w:val="28"/>
        </w:rPr>
        <w:t xml:space="preserve"> 0503128);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-баланс (ф0503130, 0503730);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пояснительная записка (ф.0503160, 0503760);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-сведения об использования информационно-коммуникационных технологий (ф.0503177);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сведения о количестве подведомственных участников бюджетного процесса, учреждений и государственных (муниципальных) унитарных  предприятий (ф.0503161);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сведения о количестве подведомственных получателей бюджетных средств (ф.0503761);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сведения об остатках денежных средств учреждения (ф.0503779);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- сведения по дебиторской и кредиторской задолженности (ф.0503169,0503769).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Представленное заключение в КСП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район», к внутренней проверке годового отчета, подписано  начальником финансового управления </w:t>
      </w:r>
      <w:proofErr w:type="spellStart"/>
      <w:r>
        <w:rPr>
          <w:rFonts w:cs="Aharoni"/>
          <w:sz w:val="28"/>
          <w:szCs w:val="28"/>
        </w:rPr>
        <w:t>Винокуровой</w:t>
      </w:r>
      <w:proofErr w:type="spellEnd"/>
      <w:r>
        <w:rPr>
          <w:rFonts w:cs="Aharoni"/>
          <w:sz w:val="28"/>
          <w:szCs w:val="28"/>
        </w:rPr>
        <w:t xml:space="preserve"> И.В., заместителем начальника финансового управления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</w:t>
      </w:r>
      <w:proofErr w:type="gramStart"/>
      <w:r>
        <w:rPr>
          <w:rFonts w:cs="Aharoni"/>
          <w:sz w:val="28"/>
          <w:szCs w:val="28"/>
        </w:rPr>
        <w:t>»П</w:t>
      </w:r>
      <w:proofErr w:type="gramEnd"/>
      <w:r>
        <w:rPr>
          <w:rFonts w:cs="Aharoni"/>
          <w:sz w:val="28"/>
          <w:szCs w:val="28"/>
        </w:rPr>
        <w:t>етуховой Е.В., ведущим специалистом отдела исполнения бюджета и сметы финансового управления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Т.С.Зуевой, исполнено главным специалистом- ревизором Елизовой С.С. с оценкой достоверности годовой бюджетной отчетности.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  </w:t>
      </w:r>
    </w:p>
    <w:p w:rsidR="00DA6C3F" w:rsidRDefault="00DA6C3F" w:rsidP="00DA6C3F">
      <w:pPr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jc w:val="both"/>
        <w:rPr>
          <w:rFonts w:cs="Aharoni"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            Выводы и рекомендации: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 xml:space="preserve">   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Отчет об исполнении бюджета муниципального образования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за 2016 год соответствует нормам бюджетного законодательства.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    КСП рекомендует устранить недостатки выявленные в процессе внешней проверки бюджетной отчетности главных администраторов бюджетных средств</w:t>
      </w:r>
      <w:proofErr w:type="gramStart"/>
      <w:r>
        <w:rPr>
          <w:rFonts w:cs="Aharoni"/>
          <w:sz w:val="28"/>
          <w:szCs w:val="28"/>
        </w:rPr>
        <w:t xml:space="preserve"> :</w:t>
      </w:r>
      <w:proofErr w:type="gramEnd"/>
    </w:p>
    <w:p w:rsidR="00DA6C3F" w:rsidRDefault="00DA6C3F" w:rsidP="00DA6C3F">
      <w:pPr>
        <w:numPr>
          <w:ilvl w:val="0"/>
          <w:numId w:val="1"/>
        </w:numPr>
        <w:ind w:left="0"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 </w:t>
      </w:r>
      <w:proofErr w:type="gramStart"/>
      <w:r>
        <w:rPr>
          <w:rFonts w:cs="Aharoni"/>
          <w:sz w:val="28"/>
          <w:szCs w:val="28"/>
        </w:rPr>
        <w:t xml:space="preserve">Внести дополнение в Положение о разработке, утверждении и реализации муниципальных целевых программ, согласно ст.157 БК РФ  и п.2 </w:t>
      </w:r>
      <w:r>
        <w:rPr>
          <w:rFonts w:cs="Aharoni"/>
          <w:sz w:val="28"/>
          <w:szCs w:val="28"/>
        </w:rPr>
        <w:lastRenderedPageBreak/>
        <w:t>ст. 9 Федерального закона  6-ФЗ «Об общих принципах организации и деятельности контрольно-счетных органов субъектов российской Федерации и контрольно-счетных органов муниципальных образований», Положения о контрольно-счетной палате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Иркутской области п.1 ст.11 в части проведения экспертизы проектов муниципальных</w:t>
      </w:r>
      <w:proofErr w:type="gramEnd"/>
      <w:r>
        <w:rPr>
          <w:rFonts w:cs="Aharoni"/>
          <w:sz w:val="28"/>
          <w:szCs w:val="28"/>
        </w:rPr>
        <w:t xml:space="preserve"> целевых программ и в части экспертизы изменений, вносимых в муниципальные целевые программы. 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</w:p>
    <w:p w:rsidR="00DA6C3F" w:rsidRDefault="00DA6C3F" w:rsidP="00DA6C3F">
      <w:pPr>
        <w:tabs>
          <w:tab w:val="left" w:pos="1560"/>
        </w:tabs>
        <w:jc w:val="both"/>
        <w:rPr>
          <w:rFonts w:cs="Aharoni"/>
          <w:b/>
          <w:sz w:val="28"/>
          <w:szCs w:val="28"/>
        </w:rPr>
      </w:pPr>
      <w:r>
        <w:rPr>
          <w:rFonts w:cs="Aharoni"/>
          <w:sz w:val="28"/>
          <w:szCs w:val="28"/>
        </w:rPr>
        <w:t xml:space="preserve">    В ходе настоящей проверки Отчета об исполнении районного бюджета за 2016 год фактов превышения прав, предоставленных органу, исполняющему бюджет, по сокращению расходов, перемещению ассигнований и блокировке расходов, </w:t>
      </w:r>
      <w:r>
        <w:rPr>
          <w:rFonts w:cs="Aharoni"/>
          <w:b/>
          <w:sz w:val="28"/>
          <w:szCs w:val="28"/>
        </w:rPr>
        <w:t>не установлено.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 xml:space="preserve">В целом представленная годовая отчетность бюджетных учреждений является достоверной. 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  <w:r>
        <w:rPr>
          <w:rFonts w:cs="Aharoni"/>
          <w:b/>
          <w:sz w:val="28"/>
          <w:szCs w:val="28"/>
        </w:rPr>
        <w:t>На основании вышеизложенного, представляется возможным  признать  годовой отчет об исполнении районного бюджета за 2016 год по основным параметрам достоверным и полным.</w:t>
      </w:r>
    </w:p>
    <w:p w:rsidR="00DA6C3F" w:rsidRDefault="00DA6C3F" w:rsidP="00DA6C3F">
      <w:pPr>
        <w:ind w:firstLine="360"/>
        <w:jc w:val="both"/>
        <w:rPr>
          <w:rFonts w:cs="Aharoni"/>
          <w:b/>
          <w:sz w:val="28"/>
          <w:szCs w:val="28"/>
        </w:rPr>
      </w:pP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</w:pPr>
      <w:r>
        <w:rPr>
          <w:rFonts w:cs="Aharoni"/>
          <w:sz w:val="28"/>
          <w:szCs w:val="28"/>
        </w:rPr>
        <w:t>Председатель (аудитор)</w:t>
      </w:r>
    </w:p>
    <w:p w:rsidR="00DA6C3F" w:rsidRDefault="00DA6C3F" w:rsidP="00DA6C3F">
      <w:pPr>
        <w:ind w:firstLine="360"/>
        <w:jc w:val="both"/>
        <w:rPr>
          <w:rFonts w:cs="Aharoni"/>
          <w:sz w:val="28"/>
          <w:szCs w:val="28"/>
        </w:rPr>
        <w:sectPr w:rsidR="00DA6C3F">
          <w:pgSz w:w="11906" w:h="16838"/>
          <w:pgMar w:top="709" w:right="1134" w:bottom="709" w:left="1276" w:header="709" w:footer="709" w:gutter="0"/>
          <w:cols w:space="720"/>
        </w:sectPr>
      </w:pPr>
      <w:r>
        <w:rPr>
          <w:rFonts w:cs="Aharoni"/>
          <w:sz w:val="28"/>
          <w:szCs w:val="28"/>
        </w:rPr>
        <w:t>КСП МО «</w:t>
      </w:r>
      <w:proofErr w:type="spellStart"/>
      <w:r>
        <w:rPr>
          <w:rFonts w:cs="Aharoni"/>
          <w:sz w:val="28"/>
          <w:szCs w:val="28"/>
        </w:rPr>
        <w:t>Качугский</w:t>
      </w:r>
      <w:proofErr w:type="spellEnd"/>
      <w:r>
        <w:rPr>
          <w:rFonts w:cs="Aharoni"/>
          <w:sz w:val="28"/>
          <w:szCs w:val="28"/>
        </w:rPr>
        <w:t xml:space="preserve"> район»                          </w:t>
      </w:r>
      <w:r w:rsidR="00F3313C">
        <w:rPr>
          <w:rFonts w:cs="Aharoni"/>
          <w:sz w:val="28"/>
          <w:szCs w:val="28"/>
        </w:rPr>
        <w:t xml:space="preserve">                   </w:t>
      </w:r>
      <w:proofErr w:type="spellStart"/>
      <w:r w:rsidR="00F3313C">
        <w:rPr>
          <w:rFonts w:cs="Aharoni"/>
          <w:sz w:val="28"/>
          <w:szCs w:val="28"/>
        </w:rPr>
        <w:t>Н.Н.Хаджинова</w:t>
      </w:r>
      <w:proofErr w:type="spellEnd"/>
      <w:r w:rsidR="00F3313C">
        <w:rPr>
          <w:rFonts w:cs="Aharoni"/>
          <w:sz w:val="28"/>
          <w:szCs w:val="28"/>
        </w:rPr>
        <w:t>.</w:t>
      </w:r>
    </w:p>
    <w:p w:rsidR="001635A1" w:rsidRDefault="001635A1"/>
    <w:sectPr w:rsidR="001635A1" w:rsidSect="00163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96615"/>
    <w:multiLevelType w:val="hybridMultilevel"/>
    <w:tmpl w:val="43CA1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C3F"/>
    <w:rsid w:val="001635A1"/>
    <w:rsid w:val="00A26063"/>
    <w:rsid w:val="00DA6C3F"/>
    <w:rsid w:val="00F3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semiHidden/>
    <w:unhideWhenUsed/>
    <w:rsid w:val="00DA6C3F"/>
    <w:pPr>
      <w:tabs>
        <w:tab w:val="center" w:pos="4677"/>
        <w:tab w:val="right" w:pos="9355"/>
      </w:tabs>
    </w:pPr>
  </w:style>
  <w:style w:type="paragraph" w:customStyle="1" w:styleId="pagettl">
    <w:name w:val="pagettl"/>
    <w:basedOn w:val="a"/>
    <w:rsid w:val="00DA6C3F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DA6C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3913</Words>
  <Characters>22306</Characters>
  <Application>Microsoft Office Word</Application>
  <DocSecurity>0</DocSecurity>
  <Lines>185</Lines>
  <Paragraphs>52</Paragraphs>
  <ScaleCrop>false</ScaleCrop>
  <Company/>
  <LinksUpToDate>false</LinksUpToDate>
  <CharactersWithSpaces>26167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2017-09-13T07:12:00Z</dcterms:created>
  <dcterms:modified xsi:type="dcterms:W3CDTF">2017-09-13T07:17:00Z</dcterms:modified>
</cp:coreProperties>
</file>